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2" w:rsidRDefault="00C05972" w:rsidP="00BB39F5">
      <w:pPr>
        <w:rPr>
          <w:rFonts w:ascii="Arial Black" w:hAnsi="Arial Black"/>
          <w:sz w:val="24"/>
          <w:szCs w:val="24"/>
          <w:u w:val="single"/>
        </w:rPr>
      </w:pPr>
    </w:p>
    <w:p w:rsidR="0091171B" w:rsidRDefault="00C05972" w:rsidP="00C05972">
      <w:pPr>
        <w:jc w:val="right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APPX “E”</w:t>
      </w:r>
    </w:p>
    <w:p w:rsidR="00392F49" w:rsidRPr="000D13A6" w:rsidRDefault="00392F49" w:rsidP="00E8685A">
      <w:pPr>
        <w:jc w:val="center"/>
        <w:rPr>
          <w:rFonts w:ascii="Arial Black" w:hAnsi="Arial Black"/>
          <w:sz w:val="24"/>
          <w:szCs w:val="24"/>
          <w:u w:val="single"/>
        </w:rPr>
      </w:pPr>
      <w:r w:rsidRPr="000D13A6">
        <w:rPr>
          <w:rFonts w:ascii="Arial Black" w:hAnsi="Arial Black"/>
          <w:sz w:val="24"/>
          <w:szCs w:val="24"/>
          <w:u w:val="single"/>
        </w:rPr>
        <w:t>PRICE BID FORMAT</w:t>
      </w:r>
      <w:r>
        <w:rPr>
          <w:rFonts w:ascii="Arial Black" w:hAnsi="Arial Black"/>
          <w:sz w:val="24"/>
          <w:szCs w:val="24"/>
          <w:u w:val="single"/>
        </w:rPr>
        <w:t xml:space="preserve"> FOR </w:t>
      </w:r>
      <w:r w:rsidR="00E8685A">
        <w:rPr>
          <w:rFonts w:ascii="Arial Black" w:hAnsi="Arial Black"/>
          <w:sz w:val="24"/>
          <w:szCs w:val="24"/>
          <w:u w:val="single"/>
        </w:rPr>
        <w:t xml:space="preserve">CARRYING OUT OF WORK FOR RENOVATION/UPGRADATION                                                 OF EXISTING CLASSROOMS  </w:t>
      </w:r>
    </w:p>
    <w:p w:rsidR="00392F49" w:rsidRPr="000D13A6" w:rsidRDefault="00392F49" w:rsidP="00392F49">
      <w:pPr>
        <w:jc w:val="both"/>
        <w:rPr>
          <w:rFonts w:ascii="Arial" w:hAnsi="Arial" w:cs="Arial"/>
          <w:sz w:val="24"/>
          <w:szCs w:val="24"/>
        </w:rPr>
      </w:pPr>
      <w:r w:rsidRPr="000D13A6">
        <w:rPr>
          <w:rFonts w:ascii="Arial" w:hAnsi="Arial" w:cs="Arial"/>
          <w:sz w:val="24"/>
          <w:szCs w:val="24"/>
        </w:rPr>
        <w:t>The price bid format is given below and bidders are required to fill this up correctly with full details. Failure to provide details will render bid invalid.</w:t>
      </w:r>
      <w:r>
        <w:rPr>
          <w:rFonts w:ascii="Arial" w:hAnsi="Arial" w:cs="Arial"/>
          <w:sz w:val="24"/>
          <w:szCs w:val="24"/>
        </w:rPr>
        <w:t xml:space="preserve"> (Please attach detail specification on attached sheet)</w:t>
      </w:r>
    </w:p>
    <w:tbl>
      <w:tblPr>
        <w:tblStyle w:val="TableGrid"/>
        <w:tblW w:w="15810" w:type="dxa"/>
        <w:tblInd w:w="-885" w:type="dxa"/>
        <w:tblLook w:val="04A0"/>
      </w:tblPr>
      <w:tblGrid>
        <w:gridCol w:w="1277"/>
        <w:gridCol w:w="2409"/>
        <w:gridCol w:w="2693"/>
        <w:gridCol w:w="992"/>
        <w:gridCol w:w="1843"/>
        <w:gridCol w:w="1418"/>
        <w:gridCol w:w="2626"/>
        <w:gridCol w:w="2552"/>
      </w:tblGrid>
      <w:tr w:rsidR="00392F49" w:rsidTr="002147EB">
        <w:tc>
          <w:tcPr>
            <w:tcW w:w="1277" w:type="dxa"/>
          </w:tcPr>
          <w:p w:rsidR="00392F49" w:rsidRPr="000D13A6" w:rsidRDefault="00392F49" w:rsidP="00392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3A6">
              <w:rPr>
                <w:rFonts w:ascii="Arial" w:hAnsi="Arial" w:cs="Arial"/>
                <w:b/>
                <w:sz w:val="24"/>
                <w:szCs w:val="24"/>
              </w:rPr>
              <w:t>SER NO</w:t>
            </w:r>
          </w:p>
        </w:tc>
        <w:tc>
          <w:tcPr>
            <w:tcW w:w="2409" w:type="dxa"/>
          </w:tcPr>
          <w:p w:rsidR="00392F49" w:rsidRPr="000D13A6" w:rsidRDefault="00E8685A" w:rsidP="00392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2693" w:type="dxa"/>
          </w:tcPr>
          <w:p w:rsidR="00392F49" w:rsidRPr="000D13A6" w:rsidRDefault="00392F49" w:rsidP="00392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3A6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992" w:type="dxa"/>
          </w:tcPr>
          <w:p w:rsidR="00392F49" w:rsidRPr="000D13A6" w:rsidRDefault="00392F49" w:rsidP="00392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QTY </w:t>
            </w:r>
          </w:p>
        </w:tc>
        <w:tc>
          <w:tcPr>
            <w:tcW w:w="1843" w:type="dxa"/>
          </w:tcPr>
          <w:p w:rsidR="00392F49" w:rsidRPr="000D13A6" w:rsidRDefault="00392F49" w:rsidP="00392F49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BASIC COST</w:t>
            </w:r>
          </w:p>
        </w:tc>
        <w:tc>
          <w:tcPr>
            <w:tcW w:w="1418" w:type="dxa"/>
          </w:tcPr>
          <w:p w:rsidR="00392F49" w:rsidRPr="000D13A6" w:rsidRDefault="00392F49" w:rsidP="00392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</w:t>
            </w:r>
          </w:p>
        </w:tc>
        <w:tc>
          <w:tcPr>
            <w:tcW w:w="2626" w:type="dxa"/>
          </w:tcPr>
          <w:p w:rsidR="00392F49" w:rsidRPr="000D13A6" w:rsidRDefault="00392F49" w:rsidP="00392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3A6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 </w:t>
            </w:r>
            <w:r w:rsidRPr="000D13A6">
              <w:rPr>
                <w:rFonts w:ascii="Arial" w:hAnsi="Arial" w:cs="Arial"/>
                <w:b/>
                <w:sz w:val="24"/>
                <w:szCs w:val="24"/>
              </w:rPr>
              <w:t>FIGURE)</w:t>
            </w:r>
          </w:p>
        </w:tc>
        <w:tc>
          <w:tcPr>
            <w:tcW w:w="2552" w:type="dxa"/>
          </w:tcPr>
          <w:p w:rsidR="00392F49" w:rsidRPr="000D13A6" w:rsidRDefault="00392F49" w:rsidP="00392F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3A6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3A6">
              <w:rPr>
                <w:rFonts w:ascii="Arial" w:hAnsi="Arial" w:cs="Arial"/>
                <w:b/>
                <w:sz w:val="24"/>
                <w:szCs w:val="24"/>
              </w:rPr>
              <w:t>(IN WORDS)</w:t>
            </w:r>
          </w:p>
        </w:tc>
      </w:tr>
      <w:tr w:rsidR="00392F49" w:rsidTr="002147EB">
        <w:tc>
          <w:tcPr>
            <w:tcW w:w="1277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8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92F49" w:rsidRPr="00E8685A" w:rsidRDefault="00921C73" w:rsidP="003B36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Repairing </w:t>
            </w:r>
            <w:r w:rsidR="0001362F">
              <w:rPr>
                <w:rFonts w:ascii="Arial" w:hAnsi="Arial" w:cs="Arial"/>
                <w:sz w:val="24"/>
                <w:szCs w:val="24"/>
              </w:rPr>
              <w:t xml:space="preserve">Ceiling </w:t>
            </w:r>
          </w:p>
        </w:tc>
        <w:tc>
          <w:tcPr>
            <w:tcW w:w="2693" w:type="dxa"/>
          </w:tcPr>
          <w:p w:rsidR="00392F49" w:rsidRPr="00E8685A" w:rsidRDefault="00A33DE2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asbestos 4mm thick along with necessary bidding</w:t>
            </w:r>
          </w:p>
        </w:tc>
        <w:tc>
          <w:tcPr>
            <w:tcW w:w="992" w:type="dxa"/>
          </w:tcPr>
          <w:p w:rsidR="00392F49" w:rsidRPr="00E8685A" w:rsidRDefault="0001362F" w:rsidP="00392F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843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F49" w:rsidTr="002147EB">
        <w:tc>
          <w:tcPr>
            <w:tcW w:w="1277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8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2F49" w:rsidRPr="00E8685A" w:rsidRDefault="0001362F" w:rsidP="00E868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Frames for ceiling</w:t>
            </w:r>
          </w:p>
        </w:tc>
        <w:tc>
          <w:tcPr>
            <w:tcW w:w="2693" w:type="dxa"/>
          </w:tcPr>
          <w:p w:rsidR="00392F49" w:rsidRPr="00E8685A" w:rsidRDefault="00921C73" w:rsidP="003B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Fixing of wooden frame works for the ceiling</w:t>
            </w:r>
          </w:p>
        </w:tc>
        <w:tc>
          <w:tcPr>
            <w:tcW w:w="992" w:type="dxa"/>
          </w:tcPr>
          <w:p w:rsidR="00392F49" w:rsidRPr="00E8685A" w:rsidRDefault="0001362F" w:rsidP="00392F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843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F49" w:rsidTr="002147EB">
        <w:tc>
          <w:tcPr>
            <w:tcW w:w="1277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8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92F49" w:rsidRPr="00E8685A" w:rsidRDefault="0001362F" w:rsidP="00E868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Painting of ceiling</w:t>
            </w:r>
          </w:p>
        </w:tc>
        <w:tc>
          <w:tcPr>
            <w:tcW w:w="2693" w:type="dxa"/>
          </w:tcPr>
          <w:p w:rsidR="00392F49" w:rsidRPr="00E8685A" w:rsidRDefault="00921C73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 Coat &amp; Distemper</w:t>
            </w:r>
          </w:p>
        </w:tc>
        <w:tc>
          <w:tcPr>
            <w:tcW w:w="992" w:type="dxa"/>
          </w:tcPr>
          <w:p w:rsidR="00392F49" w:rsidRPr="00E8685A" w:rsidRDefault="0001362F" w:rsidP="00AF54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843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F49" w:rsidTr="002147EB">
        <w:tc>
          <w:tcPr>
            <w:tcW w:w="1277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8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92F49" w:rsidRPr="00E8685A" w:rsidRDefault="0001362F" w:rsidP="00E868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 paneling</w:t>
            </w:r>
          </w:p>
        </w:tc>
        <w:tc>
          <w:tcPr>
            <w:tcW w:w="2693" w:type="dxa"/>
          </w:tcPr>
          <w:p w:rsidR="00392F49" w:rsidRPr="00E8685A" w:rsidRDefault="00921C73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Panelling of all walls of nine classrooms with 6 mm ply </w:t>
            </w:r>
          </w:p>
        </w:tc>
        <w:tc>
          <w:tcPr>
            <w:tcW w:w="992" w:type="dxa"/>
          </w:tcPr>
          <w:p w:rsidR="00392F49" w:rsidRPr="00E8685A" w:rsidRDefault="0001362F" w:rsidP="00392F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843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F49" w:rsidRPr="00E8685A" w:rsidRDefault="00392F49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62F" w:rsidTr="002147EB">
        <w:tc>
          <w:tcPr>
            <w:tcW w:w="1277" w:type="dxa"/>
          </w:tcPr>
          <w:p w:rsidR="0001362F" w:rsidRPr="00E8685A" w:rsidRDefault="0002099E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1362F" w:rsidRPr="00E8685A" w:rsidRDefault="0001362F" w:rsidP="00E868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Frame work for the wall</w:t>
            </w:r>
          </w:p>
        </w:tc>
        <w:tc>
          <w:tcPr>
            <w:tcW w:w="2693" w:type="dxa"/>
          </w:tcPr>
          <w:p w:rsidR="0001362F" w:rsidRDefault="00921C73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of wooden frame work for doing the wall panelling with 6 mm ply</w:t>
            </w:r>
          </w:p>
        </w:tc>
        <w:tc>
          <w:tcPr>
            <w:tcW w:w="992" w:type="dxa"/>
          </w:tcPr>
          <w:p w:rsidR="0001362F" w:rsidRDefault="0001362F" w:rsidP="00392F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843" w:type="dxa"/>
          </w:tcPr>
          <w:p w:rsidR="0001362F" w:rsidRPr="00E8685A" w:rsidRDefault="0001362F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62F" w:rsidRPr="00E8685A" w:rsidRDefault="0001362F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01362F" w:rsidRPr="00E8685A" w:rsidRDefault="0001362F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362F" w:rsidRPr="00E8685A" w:rsidRDefault="0001362F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99E" w:rsidTr="002147EB">
        <w:tc>
          <w:tcPr>
            <w:tcW w:w="1277" w:type="dxa"/>
          </w:tcPr>
          <w:p w:rsidR="0002099E" w:rsidRPr="00E8685A" w:rsidRDefault="0002099E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2099E" w:rsidRPr="00E8685A" w:rsidRDefault="00921C73" w:rsidP="00E868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Painting</w:t>
            </w:r>
          </w:p>
        </w:tc>
        <w:tc>
          <w:tcPr>
            <w:tcW w:w="2693" w:type="dxa"/>
          </w:tcPr>
          <w:p w:rsidR="0002099E" w:rsidRDefault="00921C73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Synthetic painting of panelling along with prime coat</w:t>
            </w:r>
          </w:p>
        </w:tc>
        <w:tc>
          <w:tcPr>
            <w:tcW w:w="992" w:type="dxa"/>
          </w:tcPr>
          <w:p w:rsidR="0002099E" w:rsidRDefault="0002099E" w:rsidP="0000272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843" w:type="dxa"/>
          </w:tcPr>
          <w:p w:rsidR="0002099E" w:rsidRPr="00E8685A" w:rsidRDefault="0002099E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099E" w:rsidRPr="00E8685A" w:rsidRDefault="0002099E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</w:tcPr>
          <w:p w:rsidR="0002099E" w:rsidRPr="00E8685A" w:rsidRDefault="0002099E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99E" w:rsidRPr="00E8685A" w:rsidRDefault="0002099E" w:rsidP="00392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237" w:rsidRDefault="001B2237" w:rsidP="00E653EE"/>
    <w:p w:rsidR="008A2F4C" w:rsidRDefault="008A2F4C" w:rsidP="00E653EE"/>
    <w:sectPr w:rsidR="008A2F4C" w:rsidSect="00C05972"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5788"/>
    <w:multiLevelType w:val="multilevel"/>
    <w:tmpl w:val="605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E7C96"/>
    <w:multiLevelType w:val="multilevel"/>
    <w:tmpl w:val="A05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74BB"/>
    <w:rsid w:val="00001927"/>
    <w:rsid w:val="0000272A"/>
    <w:rsid w:val="0001362F"/>
    <w:rsid w:val="0002099E"/>
    <w:rsid w:val="00047145"/>
    <w:rsid w:val="000A0A43"/>
    <w:rsid w:val="000D13A6"/>
    <w:rsid w:val="001238D2"/>
    <w:rsid w:val="00124208"/>
    <w:rsid w:val="001508B7"/>
    <w:rsid w:val="00170DCE"/>
    <w:rsid w:val="001B2237"/>
    <w:rsid w:val="001B72DC"/>
    <w:rsid w:val="001D3DA9"/>
    <w:rsid w:val="002055AC"/>
    <w:rsid w:val="002147EB"/>
    <w:rsid w:val="002232C1"/>
    <w:rsid w:val="00286453"/>
    <w:rsid w:val="002B181D"/>
    <w:rsid w:val="00303E09"/>
    <w:rsid w:val="003546DC"/>
    <w:rsid w:val="00374F58"/>
    <w:rsid w:val="003771F0"/>
    <w:rsid w:val="0038387D"/>
    <w:rsid w:val="00392F49"/>
    <w:rsid w:val="003B36B7"/>
    <w:rsid w:val="003F6C9E"/>
    <w:rsid w:val="00462EBA"/>
    <w:rsid w:val="0046730A"/>
    <w:rsid w:val="00490164"/>
    <w:rsid w:val="0056401A"/>
    <w:rsid w:val="00580433"/>
    <w:rsid w:val="005B799D"/>
    <w:rsid w:val="005D2949"/>
    <w:rsid w:val="005F40EB"/>
    <w:rsid w:val="005F4534"/>
    <w:rsid w:val="00614C02"/>
    <w:rsid w:val="00627E9B"/>
    <w:rsid w:val="00694705"/>
    <w:rsid w:val="006C4998"/>
    <w:rsid w:val="006F51E1"/>
    <w:rsid w:val="00702758"/>
    <w:rsid w:val="0071510F"/>
    <w:rsid w:val="00744C34"/>
    <w:rsid w:val="00794974"/>
    <w:rsid w:val="007A6E28"/>
    <w:rsid w:val="007F6C66"/>
    <w:rsid w:val="00814A50"/>
    <w:rsid w:val="008975BF"/>
    <w:rsid w:val="008A2F4C"/>
    <w:rsid w:val="008B1527"/>
    <w:rsid w:val="0091171B"/>
    <w:rsid w:val="00921C73"/>
    <w:rsid w:val="00952546"/>
    <w:rsid w:val="009525B3"/>
    <w:rsid w:val="00964173"/>
    <w:rsid w:val="009819AB"/>
    <w:rsid w:val="00987E29"/>
    <w:rsid w:val="00A067E8"/>
    <w:rsid w:val="00A33DE2"/>
    <w:rsid w:val="00A42015"/>
    <w:rsid w:val="00A859B5"/>
    <w:rsid w:val="00A93602"/>
    <w:rsid w:val="00AF54C0"/>
    <w:rsid w:val="00B45064"/>
    <w:rsid w:val="00B57764"/>
    <w:rsid w:val="00B66682"/>
    <w:rsid w:val="00B878E5"/>
    <w:rsid w:val="00B92135"/>
    <w:rsid w:val="00BB39F5"/>
    <w:rsid w:val="00BD21C1"/>
    <w:rsid w:val="00BF1691"/>
    <w:rsid w:val="00C03DC4"/>
    <w:rsid w:val="00C05972"/>
    <w:rsid w:val="00C106F5"/>
    <w:rsid w:val="00C23CA8"/>
    <w:rsid w:val="00C50C6F"/>
    <w:rsid w:val="00C7752C"/>
    <w:rsid w:val="00CB4C06"/>
    <w:rsid w:val="00D16B2C"/>
    <w:rsid w:val="00D21096"/>
    <w:rsid w:val="00D314F1"/>
    <w:rsid w:val="00D354F4"/>
    <w:rsid w:val="00D82D9D"/>
    <w:rsid w:val="00D9623F"/>
    <w:rsid w:val="00DB301A"/>
    <w:rsid w:val="00E06209"/>
    <w:rsid w:val="00E10875"/>
    <w:rsid w:val="00E179BF"/>
    <w:rsid w:val="00E31369"/>
    <w:rsid w:val="00E3170B"/>
    <w:rsid w:val="00E653EE"/>
    <w:rsid w:val="00E8685A"/>
    <w:rsid w:val="00E95DE1"/>
    <w:rsid w:val="00EA3EA6"/>
    <w:rsid w:val="00EB548B"/>
    <w:rsid w:val="00EE74BB"/>
    <w:rsid w:val="00EF362C"/>
    <w:rsid w:val="00F219E3"/>
    <w:rsid w:val="00F23F4A"/>
    <w:rsid w:val="00F34E3D"/>
    <w:rsid w:val="00F67DE9"/>
    <w:rsid w:val="00F74CDA"/>
    <w:rsid w:val="00FF0F1F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64"/>
  </w:style>
  <w:style w:type="paragraph" w:styleId="Heading1">
    <w:name w:val="heading 1"/>
    <w:basedOn w:val="Normal"/>
    <w:link w:val="Heading1Char"/>
    <w:uiPriority w:val="9"/>
    <w:qFormat/>
    <w:rsid w:val="00F67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5F40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rsid w:val="005F40EB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DE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DefaultParagraphFont"/>
    <w:rsid w:val="00F67DE9"/>
  </w:style>
  <w:style w:type="character" w:customStyle="1" w:styleId="a-text-bold">
    <w:name w:val="a-text-bold"/>
    <w:basedOn w:val="DefaultParagraphFont"/>
    <w:rsid w:val="00A859B5"/>
  </w:style>
  <w:style w:type="character" w:customStyle="1" w:styleId="a-size-extra-large">
    <w:name w:val="a-size-extra-large"/>
    <w:basedOn w:val="DefaultParagraphFont"/>
    <w:rsid w:val="002055AC"/>
  </w:style>
  <w:style w:type="character" w:customStyle="1" w:styleId="a-list-item">
    <w:name w:val="a-list-item"/>
    <w:basedOn w:val="DefaultParagraphFont"/>
    <w:rsid w:val="003F6C9E"/>
  </w:style>
  <w:style w:type="character" w:customStyle="1" w:styleId="a-size-base">
    <w:name w:val="a-size-base"/>
    <w:basedOn w:val="DefaultParagraphFont"/>
    <w:rsid w:val="00A93602"/>
  </w:style>
  <w:style w:type="character" w:customStyle="1" w:styleId="a-text-italic">
    <w:name w:val="a-text-italic"/>
    <w:basedOn w:val="DefaultParagraphFont"/>
    <w:rsid w:val="00A9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Hp</cp:lastModifiedBy>
  <cp:revision>91</cp:revision>
  <dcterms:created xsi:type="dcterms:W3CDTF">2019-12-26T05:50:00Z</dcterms:created>
  <dcterms:modified xsi:type="dcterms:W3CDTF">2022-07-30T11:06:00Z</dcterms:modified>
</cp:coreProperties>
</file>